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业财一体化项目信创迁移数据库改造服务采购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246996898"/>
      <w:bookmarkStart w:id="2" w:name="_Toc507428442"/>
      <w:bookmarkStart w:id="3" w:name="_Toc296602400"/>
      <w:bookmarkStart w:id="4" w:name="_Toc507319889"/>
      <w:bookmarkStart w:id="5" w:name="_Toc247085669"/>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38C09DEE">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_Toc7416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_Toc7416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69D36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_Toc19817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12BF3A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_Toc30536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_Toc30536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C9F2EE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_Toc15492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_Toc15492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C37FB8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_Toc1783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E9299C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_Toc28958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_Toc28958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0DD350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_Toc20055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_Toc20055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0DF4964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_Toc15120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_Toc15120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A74DDC">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_Toc8556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_Toc8556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2981E2E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_Toc31663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_Toc31663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6FFB1218">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_Toc19471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_Toc19471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112E3EF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_Toc26599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49F8D5A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_Toc11814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_Toc11814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1250EB4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_Toc3077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76EFD41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_Toc9925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4B51F10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_Toc9951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_Toc9951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cs="宋体"/>
          <w:bCs w:val="0"/>
          <w:caps w:val="0"/>
          <w:color w:val="auto"/>
          <w:highlight w:val="none"/>
        </w:rPr>
        <w:fldChar w:fldCharType="end"/>
      </w:r>
    </w:p>
    <w:p w14:paraId="539EB241">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_Toc11571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_Toc11571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cs="宋体"/>
          <w:bCs w:val="0"/>
          <w:caps w:val="0"/>
          <w:color w:val="auto"/>
          <w:highlight w:val="none"/>
        </w:rPr>
        <w:fldChar w:fldCharType="end"/>
      </w:r>
    </w:p>
    <w:p w14:paraId="1ED8341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_Toc24387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_Toc24387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val="0"/>
          <w:caps w:val="0"/>
          <w:color w:val="auto"/>
          <w:highlight w:val="none"/>
        </w:rPr>
        <w:fldChar w:fldCharType="end"/>
      </w:r>
    </w:p>
    <w:p w14:paraId="6461942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_Toc12064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val="0"/>
          <w:caps w:val="0"/>
          <w:color w:val="auto"/>
          <w:highlight w:val="none"/>
        </w:rPr>
        <w:fldChar w:fldCharType="end"/>
      </w:r>
    </w:p>
    <w:p w14:paraId="1E14463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_Toc11728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_Toc11728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51CAB4D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_Toc17816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_Toc17816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val="0"/>
          <w:caps w:val="0"/>
          <w:color w:val="auto"/>
          <w:highlight w:val="none"/>
        </w:rPr>
        <w:fldChar w:fldCharType="end"/>
      </w:r>
    </w:p>
    <w:p w14:paraId="25BC526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_Toc26280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_Toc26280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val="0"/>
          <w:caps w:val="0"/>
          <w:color w:val="auto"/>
          <w:highlight w:val="none"/>
        </w:rPr>
        <w:fldChar w:fldCharType="end"/>
      </w:r>
    </w:p>
    <w:p w14:paraId="4A4B823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_Toc7792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_Toc7792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bookmarkStart w:id="8" w:name="_Toc7416"/>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9" w:name="_Toc6549"/>
      <w:bookmarkStart w:id="10" w:name="_Toc507319891"/>
      <w:bookmarkStart w:id="11" w:name="_Toc24874"/>
      <w:bookmarkStart w:id="12" w:name="_Toc144974480"/>
      <w:bookmarkStart w:id="13" w:name="_Toc13849"/>
      <w:bookmarkStart w:id="14" w:name="_Toc19817"/>
      <w:bookmarkStart w:id="15" w:name="_Toc246996901"/>
      <w:bookmarkStart w:id="16" w:name="_Toc152042288"/>
      <w:bookmarkStart w:id="17" w:name="_Toc247085672"/>
      <w:bookmarkStart w:id="18" w:name="_Toc10076"/>
      <w:bookmarkStart w:id="19" w:name="_Toc152045512"/>
      <w:bookmarkStart w:id="20" w:name="_Toc179632528"/>
      <w:bookmarkStart w:id="21" w:name="_Toc11329213"/>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业财一体化项目信创迁移数据库改造服务采购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3" w:name="_Toc179632529"/>
      <w:bookmarkStart w:id="24" w:name="_Toc18109"/>
      <w:bookmarkStart w:id="25" w:name="_Toc30536"/>
      <w:bookmarkStart w:id="26" w:name="_Toc11329214"/>
      <w:bookmarkStart w:id="27" w:name="_Toc247085673"/>
      <w:bookmarkStart w:id="28" w:name="_Toc21343"/>
      <w:bookmarkStart w:id="29" w:name="_Toc152042289"/>
      <w:bookmarkStart w:id="30" w:name="_Toc144974481"/>
      <w:bookmarkStart w:id="31" w:name="_Toc152045513"/>
      <w:bookmarkStart w:id="32" w:name="_Toc246996159"/>
      <w:bookmarkStart w:id="33" w:name="_Toc10952"/>
      <w:bookmarkStart w:id="34" w:name="_Toc507319892"/>
      <w:bookmarkStart w:id="35" w:name="_Toc7760"/>
      <w:bookmarkStart w:id="36" w:name="_Toc246996902"/>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265234827"/>
      <w:bookmarkStart w:id="38" w:name="_Toc382816230"/>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进一步优化系统性能、提升工作效率，进行业财一体化平台数据库改造</w:t>
      </w:r>
      <w:bookmarkEnd w:id="40"/>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11.00</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rPr>
        <w:t>业财一体化项目信创迁移数据库改造</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2026年</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日前完成交付（具体按采购人要求为准）。</w:t>
      </w:r>
      <w:bookmarkEnd w:id="42"/>
    </w:p>
    <w:p w14:paraId="5937ADBE">
      <w:pPr>
        <w:wordWrap w:val="0"/>
        <w:snapToGrid w:val="0"/>
        <w:spacing w:line="420" w:lineRule="exact"/>
        <w:ind w:firstLine="413" w:firstLineChars="197"/>
        <w:rPr>
          <w:rFonts w:hint="eastAsia" w:ascii="宋体" w:hAnsi="宋体" w:cs="宋体"/>
          <w:color w:val="auto"/>
          <w:szCs w:val="21"/>
          <w:highlight w:val="none"/>
        </w:rPr>
      </w:pPr>
      <w:bookmarkStart w:id="43" w:name="_Toc247085674"/>
      <w:bookmarkStart w:id="44" w:name="_Toc179632530"/>
      <w:bookmarkStart w:id="45" w:name="_Toc507319893"/>
      <w:bookmarkStart w:id="46" w:name="_Toc144974482"/>
      <w:bookmarkStart w:id="47" w:name="_Toc152045514"/>
      <w:bookmarkStart w:id="48" w:name="_Toc246996903"/>
      <w:bookmarkStart w:id="49" w:name="_Toc10171"/>
      <w:bookmarkStart w:id="50" w:name="_Toc246996160"/>
      <w:bookmarkStart w:id="51" w:name="_Toc152042290"/>
      <w:bookmarkStart w:id="52" w:name="_Toc11329215"/>
      <w:bookmarkStart w:id="53" w:name="_Toc7065"/>
      <w:bookmarkStart w:id="54" w:name="_Toc30356"/>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6" w:name="_Toc15492"/>
      <w:bookmarkStart w:id="57" w:name="_Toc13092"/>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26CBDF73">
      <w:pPr>
        <w:pStyle w:val="12"/>
        <w:adjustRightInd w:val="0"/>
        <w:spacing w:line="400" w:lineRule="exact"/>
        <w:rPr>
          <w:rFonts w:hint="eastAsia" w:ascii="宋体" w:hAnsi="宋体" w:cs="宋体"/>
          <w:color w:val="auto"/>
          <w:sz w:val="21"/>
          <w:szCs w:val="21"/>
          <w:highlight w:val="none"/>
        </w:rPr>
      </w:pPr>
      <w:bookmarkStart w:id="58" w:name="_Toc247085675"/>
      <w:bookmarkStart w:id="59" w:name="_Toc152045515"/>
      <w:bookmarkStart w:id="60" w:name="_Toc246996161"/>
      <w:bookmarkStart w:id="61" w:name="_Toc179632531"/>
      <w:bookmarkStart w:id="62" w:name="_Toc246996904"/>
      <w:bookmarkStart w:id="63" w:name="_Toc152042291"/>
      <w:bookmarkStart w:id="64" w:name="_Toc144974483"/>
      <w:r>
        <w:rPr>
          <w:rFonts w:hint="eastAsia" w:ascii="宋体" w:hAnsi="宋体" w:cs="宋体"/>
          <w:color w:val="auto"/>
          <w:sz w:val="21"/>
          <w:szCs w:val="21"/>
          <w:highlight w:val="none"/>
        </w:rPr>
        <w:t>3.1 资质要求：</w:t>
      </w:r>
      <w:bookmarkStart w:id="65" w:name="资质要求"/>
    </w:p>
    <w:p w14:paraId="314E781C">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（1）报价人具有独立法人资格及有效的营业执照或事业单位法人证书。 </w:t>
      </w:r>
    </w:p>
    <w:p w14:paraId="58E02B85">
      <w:pPr>
        <w:pStyle w:val="12"/>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（2）因本项目平台使用达梦数据库，报价人须提供达梦授权代理证书或针对本项目的授权证书。</w:t>
      </w:r>
      <w:bookmarkEnd w:id="65"/>
    </w:p>
    <w:p w14:paraId="2AF27C70">
      <w:pPr>
        <w:pStyle w:val="12"/>
        <w:wordWrap w:val="0"/>
        <w:adjustRightInd w:val="0"/>
        <w:spacing w:line="4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2023年1月1日至竞争性比选文件发出之日（以合同签订时间为准）起至少承担一项合同金额不低于5万元的软件开发服务业绩</w:t>
      </w:r>
      <w:bookmarkEnd w:id="66"/>
      <w:r>
        <w:rPr>
          <w:rFonts w:hint="eastAsia" w:ascii="宋体" w:hAnsi="宋体" w:cs="宋体"/>
          <w:color w:val="auto"/>
          <w:sz w:val="21"/>
          <w:szCs w:val="21"/>
          <w:highlight w:val="none"/>
          <w:lang w:eastAsia="zh-CN"/>
        </w:rPr>
        <w:t>。</w:t>
      </w:r>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7" w:name="_Toc1783"/>
      <w:bookmarkStart w:id="68" w:name="_Toc13035"/>
      <w:bookmarkStart w:id="69" w:name="_Toc507319894"/>
      <w:bookmarkStart w:id="70" w:name="_Toc11329216"/>
      <w:bookmarkStart w:id="71" w:name="_Toc25619"/>
      <w:bookmarkStart w:id="72" w:name="_Toc12460"/>
      <w:bookmarkStart w:id="73" w:name="_Toc14361"/>
      <w:r>
        <w:rPr>
          <w:rFonts w:hint="eastAsia" w:ascii="宋体" w:hAnsi="宋体" w:eastAsia="宋体" w:cs="宋体"/>
          <w:color w:val="auto"/>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4" w:name="_Toc28958"/>
      <w:bookmarkStart w:id="75" w:name="_Toc17600"/>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color w:val="auto"/>
          <w:szCs w:val="21"/>
          <w:highlight w:val="none"/>
        </w:rPr>
      </w:pPr>
      <w:bookmarkStart w:id="76" w:name="_Toc179632532"/>
      <w:bookmarkStart w:id="77" w:name="_Toc247085676"/>
      <w:bookmarkStart w:id="78" w:name="_Toc507319895"/>
      <w:bookmarkStart w:id="79" w:name="_Toc152042292"/>
      <w:bookmarkStart w:id="80" w:name="_Toc11329217"/>
      <w:bookmarkStart w:id="81" w:name="_Toc246996905"/>
      <w:bookmarkStart w:id="82" w:name="_Toc144974484"/>
      <w:bookmarkStart w:id="83" w:name="_Toc246996162"/>
      <w:bookmarkStart w:id="84" w:name="_Toc152045516"/>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5" w:name="_Toc14325"/>
      <w:bookmarkStart w:id="86" w:name="_Toc20055"/>
      <w:bookmarkStart w:id="87" w:name="_Toc16686"/>
      <w:bookmarkStart w:id="88" w:name="_Toc31493"/>
      <w:bookmarkStart w:id="89" w:name="_Toc9131"/>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w:t>
      </w:r>
      <w:bookmarkStart w:id="267" w:name="_GoBack"/>
      <w:bookmarkEnd w:id="267"/>
      <w:r>
        <w:rPr>
          <w:rFonts w:hint="eastAsia" w:ascii="宋体" w:hAnsi="宋体" w:cs="宋体"/>
          <w:color w:val="auto"/>
          <w:szCs w:val="21"/>
          <w:highlight w:val="none"/>
        </w:rPr>
        <w:t>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1" w:name="_Toc11329219"/>
      <w:bookmarkStart w:id="92" w:name="_Toc21615"/>
      <w:bookmarkStart w:id="93" w:name="_Toc152042293"/>
      <w:bookmarkStart w:id="94" w:name="_Toc246996164"/>
      <w:bookmarkStart w:id="95" w:name="_Toc247085678"/>
      <w:bookmarkStart w:id="96" w:name="_Toc144974485"/>
      <w:bookmarkStart w:id="97" w:name="_Toc15120"/>
      <w:bookmarkStart w:id="98" w:name="_Toc507319897"/>
      <w:bookmarkStart w:id="99" w:name="_Toc179632534"/>
      <w:bookmarkStart w:id="100" w:name="_Toc152045517"/>
      <w:bookmarkStart w:id="101" w:name="_Toc4010"/>
      <w:bookmarkStart w:id="102" w:name="_Toc18402"/>
      <w:bookmarkStart w:id="103" w:name="_Toc246996907"/>
      <w:bookmarkStart w:id="104" w:name="_Toc393"/>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13678456475</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color w:val="auto"/>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1473CF30">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5" w:name="_Toc144974495"/>
      <w:bookmarkStart w:id="106" w:name="_Toc179632544"/>
      <w:bookmarkStart w:id="107" w:name="_Toc246996173"/>
      <w:bookmarkStart w:id="108" w:name="_Toc152045527"/>
      <w:bookmarkStart w:id="109" w:name="_Toc152042303"/>
      <w:bookmarkStart w:id="110" w:name="_Toc247085687"/>
      <w:bookmarkStart w:id="111" w:name="_Toc507319898"/>
      <w:bookmarkStart w:id="112" w:name="_Toc246996916"/>
      <w:bookmarkStart w:id="113" w:name="_Toc2000405"/>
      <w:r>
        <w:rPr>
          <w:rFonts w:hint="eastAsia" w:ascii="宋体" w:hAnsi="宋体" w:cs="宋体"/>
          <w:color w:val="auto"/>
          <w:highlight w:val="none"/>
        </w:rPr>
        <w:br w:type="page"/>
      </w:r>
      <w:bookmarkStart w:id="114" w:name="_Toc12865"/>
      <w:bookmarkStart w:id="115" w:name="_Toc8556"/>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180CA76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387E0397">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555C790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540FFC0">
            <w:pPr>
              <w:topLinePunct/>
              <w:spacing w:line="400" w:lineRule="exact"/>
              <w:ind w:firstLine="420" w:firstLineChars="200"/>
              <w:rPr>
                <w:color w:val="auto"/>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业财一体化项目信创迁移数据库改造服务采购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rPr>
              <w:tab/>
            </w:r>
            <w:r>
              <w:rPr>
                <w:rFonts w:hint="eastAsia" w:ascii="宋体" w:hAnsi="宋体"/>
                <w:b/>
                <w:bCs/>
                <w:color w:val="auto"/>
                <w:szCs w:val="21"/>
                <w:highlight w:val="none"/>
                <w:u w:val="single"/>
              </w:rPr>
              <w:t>108000.00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710D02D4">
            <w:pPr>
              <w:pStyle w:val="28"/>
              <w:widowControl/>
              <w:shd w:val="clear"/>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34C22840">
            <w:pPr>
              <w:spacing w:line="400" w:lineRule="exact"/>
              <w:ind w:firstLine="420" w:firstLineChars="200"/>
              <w:rPr>
                <w:color w:val="auto"/>
                <w:highlight w:val="none"/>
              </w:rPr>
            </w:pPr>
            <w:bookmarkStart w:id="120" w:name="支付方式"/>
            <w:r>
              <w:rPr>
                <w:rFonts w:hint="eastAsia" w:ascii="宋体" w:hAnsi="宋体" w:cs="宋体"/>
                <w:color w:val="auto"/>
                <w:szCs w:val="21"/>
                <w:highlight w:val="none"/>
              </w:rPr>
              <w:t>乙方完成该项目全部工作后，经甲方及业主验收合格，并由乙方主动提出书面申请，经甲方业务部门确认后，30个工作日内全额支付当期结算款，若乙方未提出书面申请，则相应的延迟责任由乙方自行承担。</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1000.00</w:t>
            </w:r>
            <w:bookmarkEnd w:id="122"/>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业财一体化项目信创迁移数据库改造服务采购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中标金额的10%</w:t>
            </w:r>
            <w:bookmarkEnd w:id="125"/>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6" w:name="单据名称4"/>
            <w:r>
              <w:rPr>
                <w:rFonts w:hint="eastAsia"/>
                <w:color w:val="auto"/>
                <w:sz w:val="21"/>
                <w:szCs w:val="21"/>
                <w:highlight w:val="none"/>
                <w:u w:val="single"/>
              </w:rPr>
              <w:t>业财一体化项目信创迁移数据库改造服务采购</w:t>
            </w:r>
            <w:bookmarkEnd w:id="126"/>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7" w:name="OLE_LINK5"/>
            <w:r>
              <w:rPr>
                <w:rFonts w:hint="eastAsia" w:ascii="宋体" w:hAnsi="宋体" w:cs="宋体"/>
                <w:color w:val="auto"/>
                <w:kern w:val="0"/>
                <w:szCs w:val="21"/>
                <w:highlight w:val="none"/>
              </w:rPr>
              <w:t>报价</w:t>
            </w:r>
            <w:bookmarkEnd w:id="127"/>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2985A143">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3"/>
        <w:jc w:val="center"/>
        <w:rPr>
          <w:rFonts w:hint="eastAsia" w:ascii="宋体" w:hAnsi="宋体" w:eastAsia="宋体" w:cs="宋体"/>
          <w:bCs w:val="0"/>
          <w:color w:val="auto"/>
          <w:sz w:val="28"/>
          <w:szCs w:val="28"/>
          <w:highlight w:val="none"/>
        </w:rPr>
      </w:pPr>
      <w:bookmarkStart w:id="129" w:name="_Toc11284"/>
      <w:bookmarkStart w:id="130" w:name="_Toc30198"/>
      <w:bookmarkStart w:id="131" w:name="_Toc11329222"/>
      <w:bookmarkStart w:id="132" w:name="_Toc17532"/>
      <w:bookmarkStart w:id="133" w:name="_Toc21580"/>
      <w:bookmarkStart w:id="134" w:name="_Toc31663"/>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5" w:name="_Toc27096"/>
      <w:bookmarkStart w:id="136" w:name="_Toc11329226"/>
      <w:bookmarkStart w:id="137" w:name="_Toc25591"/>
      <w:bookmarkStart w:id="138" w:name="_Toc12773"/>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bookmarkEnd w:id="13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9" w:name="_Toc387234996"/>
            <w:bookmarkStart w:id="140"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F1424B5">
            <w:pPr>
              <w:spacing w:line="400" w:lineRule="exact"/>
              <w:ind w:firstLine="420" w:firstLineChars="200"/>
              <w:rPr>
                <w:rFonts w:hint="eastAsia" w:ascii="宋体" w:hAnsi="宋体" w:cs="宋体"/>
                <w:color w:val="auto"/>
                <w:szCs w:val="21"/>
                <w:highlight w:val="none"/>
                <w:shd w:val="clear" w:color="auto" w:fill="FCFCFC"/>
              </w:rPr>
            </w:pPr>
            <w:bookmarkStart w:id="141" w:name="资质要求1"/>
            <w:r>
              <w:rPr>
                <w:rFonts w:hint="eastAsia" w:ascii="宋体" w:hAnsi="宋体" w:cs="宋体"/>
                <w:color w:val="auto"/>
                <w:szCs w:val="21"/>
                <w:highlight w:val="none"/>
                <w:shd w:val="clear" w:color="auto" w:fill="FCFCFC"/>
              </w:rPr>
              <w:t xml:space="preserve">（1）报价人具有独立法人资格及有效的营业执照或事业单位法人证书。 </w:t>
            </w:r>
          </w:p>
          <w:p w14:paraId="721A2F8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（2）因本项目平台使用达梦数据库，报价人须提供达梦授权代理证书或针对本项目的授权证书。</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2" w:name="业绩要求1"/>
            <w:r>
              <w:rPr>
                <w:rFonts w:hint="eastAsia" w:ascii="宋体" w:hAnsi="宋体" w:cs="宋体"/>
                <w:color w:val="auto"/>
                <w:szCs w:val="21"/>
                <w:highlight w:val="none"/>
              </w:rPr>
              <w:t>2023年1月1日至竞争性比选文件发出之日（以合同签订时间为准）起至少承担一项合同金额不低于5万元的软件开发服务业绩</w:t>
            </w:r>
            <w:bookmarkEnd w:id="142"/>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color w:val="auto"/>
                <w:szCs w:val="21"/>
                <w:highlight w:val="none"/>
              </w:rPr>
            </w:pPr>
            <w:bookmarkStart w:id="143" w:name="主要管理人员要求"/>
            <w:r>
              <w:rPr>
                <w:rFonts w:hint="eastAsia" w:ascii="宋体" w:hAnsi="宋体" w:cs="宋体"/>
                <w:color w:val="auto"/>
                <w:szCs w:val="21"/>
                <w:highlight w:val="none"/>
              </w:rPr>
              <w:t>报价人承诺拟派1名项目负责人为本项目服务</w:t>
            </w:r>
            <w:bookmarkEnd w:id="143"/>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bookmarkStart w:id="144" w:name="其他人员要求"/>
            <w:r>
              <w:rPr>
                <w:rFonts w:hint="eastAsia" w:ascii="宋体" w:hAnsi="宋体" w:cs="宋体"/>
                <w:color w:val="auto"/>
                <w:szCs w:val="21"/>
                <w:highlight w:val="none"/>
              </w:rPr>
              <w:t>报价人承诺至少拟派2名实施开发人员为本项目服务，并承诺跟随甲方服务需求随时增减人员数量。</w:t>
            </w:r>
            <w:bookmarkEnd w:id="144"/>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17"/>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7"/>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5" w:name="_Toc31719"/>
      <w:bookmarkStart w:id="146" w:name="_Toc31054"/>
      <w:bookmarkStart w:id="147" w:name="_Toc19471"/>
      <w:r>
        <w:rPr>
          <w:rFonts w:hint="eastAsia" w:ascii="宋体" w:hAnsi="宋体" w:cs="宋体"/>
          <w:color w:val="auto"/>
          <w:highlight w:val="none"/>
        </w:rPr>
        <w:t>评标办法（综合评估法）</w:t>
      </w:r>
      <w:bookmarkEnd w:id="145"/>
      <w:bookmarkEnd w:id="146"/>
      <w:bookmarkEnd w:id="147"/>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94AA476">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418E0262">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0893F5D8">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2BB0A7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w:t>
            </w:r>
            <w:r>
              <w:rPr>
                <w:rFonts w:hint="eastAsia" w:ascii="宋体" w:hAnsi="宋体" w:cs="宋体"/>
                <w:color w:val="auto"/>
                <w:szCs w:val="21"/>
                <w:highlight w:val="none"/>
                <w:lang w:val="en-US" w:eastAsia="zh-CN"/>
              </w:rPr>
              <w:t>智能体</w:t>
            </w:r>
            <w:r>
              <w:rPr>
                <w:rFonts w:hint="eastAsia" w:ascii="宋体" w:hAnsi="宋体" w:eastAsia="宋体" w:cs="宋体"/>
                <w:color w:val="auto"/>
                <w:szCs w:val="21"/>
                <w:highlight w:val="none"/>
                <w:lang w:val="en-US" w:eastAsia="zh-CN"/>
              </w:rPr>
              <w:t>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50D34082">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6A3E16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61740E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208925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F494443">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31EF1088">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52AFE8D7">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F84039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业财一体化项目信创迁移数据库改造提供合理可行的项目实施方案，方案至少包含项目实施的组织架构、实施计划、实施管理流程；实施方案内容全面、结构清晰；实施方案针对技术、资源、时间的安排合理。根据编制内容优劣给分：</w:t>
            </w:r>
          </w:p>
          <w:p w14:paraId="6CAE1E43">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CF819A5">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65F6303">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76D0DC7F">
            <w:pPr>
              <w:pStyle w:val="41"/>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3573446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业财一体化项目信创迁移数据库改造提供合理可行的项目售后服务技术支持及技术交底服务方案，方案至少包含开发过程文档、需求变更文档，技术交底方式、计划、技术交底质量控制、缺陷责任期响应和修复保障等内容。</w:t>
            </w:r>
          </w:p>
          <w:p w14:paraId="21C1FA1D">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FD1F166">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507A7AA2">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0094688F">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具有有效的ISO 9001</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0A0758A4">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具有有效的ISO 27001信息安全管理体系认证证书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1295A4CA">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31CC52EF">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4F49FA38">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3121B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354469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5E48001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B367836">
            <w:pPr>
              <w:widowControl/>
              <w:spacing w:line="360" w:lineRule="atLeas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项目团队(</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分)</w:t>
            </w:r>
          </w:p>
          <w:p w14:paraId="32E8FE90">
            <w:pPr>
              <w:widowControl/>
              <w:spacing w:line="360" w:lineRule="atLeast"/>
              <w:jc w:val="center"/>
              <w:textAlignment w:val="center"/>
              <w:rPr>
                <w:rFonts w:hint="eastAsia" w:ascii="宋体" w:hAnsi="宋体" w:cs="宋体"/>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1CEEDC0F">
            <w:pPr>
              <w:spacing w:line="360" w:lineRule="exact"/>
              <w:ind w:firstLine="420"/>
              <w:rPr>
                <w:rFonts w:asciiTheme="minorEastAsia" w:hAnsiTheme="minorEastAsia" w:eastAsiaTheme="minorEastAsia" w:cstheme="minorEastAsia"/>
                <w:color w:val="auto"/>
                <w:kern w:val="0"/>
                <w:szCs w:val="21"/>
                <w:highlight w:val="none"/>
                <w:shd w:val="clear" w:color="auto" w:fill="FFFFFF"/>
                <w:lang w:bidi="ar"/>
              </w:rPr>
            </w:pPr>
            <w:r>
              <w:rPr>
                <w:rFonts w:hint="eastAsia" w:asciiTheme="minorEastAsia" w:hAnsiTheme="minorEastAsia" w:eastAsiaTheme="minorEastAsia" w:cstheme="minorEastAsia"/>
                <w:color w:val="auto"/>
                <w:kern w:val="0"/>
                <w:szCs w:val="21"/>
                <w:highlight w:val="none"/>
                <w:shd w:val="clear" w:color="auto" w:fill="FFFFFF"/>
                <w:lang w:bidi="ar"/>
              </w:rPr>
              <w:t>拟派的项目负责人具有信息技术类相关专业高级职称或PMP证书得</w:t>
            </w:r>
            <w:r>
              <w:rPr>
                <w:rFonts w:hint="eastAsia" w:asciiTheme="minorEastAsia" w:hAnsiTheme="minorEastAsia" w:eastAsiaTheme="minorEastAsia" w:cstheme="minorEastAsia"/>
                <w:color w:val="auto"/>
                <w:kern w:val="0"/>
                <w:szCs w:val="21"/>
                <w:highlight w:val="none"/>
                <w:shd w:val="clear" w:color="auto" w:fill="FFFFFF"/>
                <w:lang w:val="en-US" w:eastAsia="zh-CN" w:bidi="ar"/>
              </w:rPr>
              <w:t>1</w:t>
            </w:r>
            <w:r>
              <w:rPr>
                <w:rFonts w:hint="eastAsia" w:asciiTheme="minorEastAsia" w:hAnsiTheme="minorEastAsia" w:eastAsiaTheme="minorEastAsia" w:cstheme="minorEastAsia"/>
                <w:color w:val="auto"/>
                <w:kern w:val="0"/>
                <w:szCs w:val="21"/>
                <w:highlight w:val="none"/>
                <w:shd w:val="clear" w:color="auto" w:fill="FFFFFF"/>
                <w:lang w:bidi="ar"/>
              </w:rPr>
              <w:t>分。</w:t>
            </w:r>
          </w:p>
          <w:p w14:paraId="3C0A8209">
            <w:pPr>
              <w:spacing w:line="360" w:lineRule="atLeas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lang w:bidi="ar"/>
              </w:rPr>
              <w:t>注：提供拟派人员的身份证复印件下、相应证书复印件，报价人为其缴纳2026年</w:t>
            </w:r>
            <w:r>
              <w:rPr>
                <w:rFonts w:hint="eastAsia" w:ascii="宋体" w:hAnsi="宋体" w:cs="宋体"/>
                <w:b/>
                <w:bCs/>
                <w:color w:val="auto"/>
                <w:szCs w:val="21"/>
                <w:highlight w:val="none"/>
                <w:lang w:val="en-US" w:eastAsia="zh-CN" w:bidi="ar"/>
              </w:rPr>
              <w:t>4</w:t>
            </w:r>
            <w:r>
              <w:rPr>
                <w:rFonts w:hint="eastAsia" w:ascii="宋体" w:hAnsi="宋体" w:cs="宋体"/>
                <w:b/>
                <w:bCs/>
                <w:color w:val="auto"/>
                <w:szCs w:val="21"/>
                <w:highlight w:val="none"/>
                <w:lang w:bidi="ar"/>
              </w:rPr>
              <w:t>月-2026年</w:t>
            </w:r>
            <w:r>
              <w:rPr>
                <w:rFonts w:hint="eastAsia" w:ascii="宋体" w:hAnsi="宋体" w:cs="宋体"/>
                <w:b/>
                <w:bCs/>
                <w:color w:val="auto"/>
                <w:szCs w:val="21"/>
                <w:highlight w:val="none"/>
                <w:lang w:val="en-US" w:eastAsia="zh-CN" w:bidi="ar"/>
              </w:rPr>
              <w:t>6</w:t>
            </w:r>
            <w:r>
              <w:rPr>
                <w:rFonts w:hint="eastAsia" w:ascii="宋体" w:hAnsi="宋体" w:cs="宋体"/>
                <w:b/>
                <w:bCs/>
                <w:color w:val="auto"/>
                <w:szCs w:val="21"/>
                <w:highlight w:val="none"/>
                <w:lang w:bidi="ar"/>
              </w:rPr>
              <w:t>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bidi="ar"/>
              </w:rPr>
              <w:t>。同一人员只计一次得分，不重复得分。</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5DF1155A">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0FB8F3B">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w:t>
            </w:r>
          </w:p>
          <w:p w14:paraId="5D596F17">
            <w:pPr>
              <w:widowControl/>
              <w:spacing w:line="400" w:lineRule="exact"/>
              <w:jc w:val="center"/>
              <w:textAlignment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业绩</w:t>
            </w:r>
          </w:p>
          <w:p w14:paraId="2D936A4C">
            <w:pPr>
              <w:widowControl/>
              <w:spacing w:line="40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12689DB1">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3206A6D0">
            <w:pPr>
              <w:pStyle w:val="121"/>
              <w:widowControl/>
              <w:spacing w:line="400" w:lineRule="exact"/>
              <w:jc w:val="left"/>
              <w:rPr>
                <w:rFonts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在满足资格业绩要求的基础上，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Cs w:val="21"/>
                <w:highlight w:val="none"/>
              </w:rPr>
              <w:t>2023年1月1日至竞争性比选文件发出之日</w:t>
            </w:r>
            <w:r>
              <w:rPr>
                <w:rFonts w:hint="eastAsia" w:ascii="宋体" w:hAnsi="宋体" w:cs="宋体"/>
                <w:color w:val="auto"/>
                <w:highlight w:val="none"/>
              </w:rPr>
              <w:t>止</w:t>
            </w:r>
            <w:r>
              <w:rPr>
                <w:rFonts w:hint="eastAsia" w:ascii="宋体" w:hAnsi="宋体" w:cs="宋体"/>
                <w:color w:val="auto"/>
                <w:szCs w:val="21"/>
                <w:highlight w:val="none"/>
              </w:rPr>
              <w:t>（以合同签订时间为准）每承担过一项合同金额不低于</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万元的软件</w:t>
            </w:r>
            <w:r>
              <w:rPr>
                <w:rFonts w:hint="eastAsia" w:ascii="宋体" w:hAnsi="宋体" w:cs="宋体"/>
                <w:color w:val="auto"/>
                <w:szCs w:val="21"/>
                <w:highlight w:val="none"/>
                <w:lang w:val="en-US" w:eastAsia="zh-CN"/>
              </w:rPr>
              <w:t>开发服务</w:t>
            </w:r>
            <w:r>
              <w:rPr>
                <w:rFonts w:hint="eastAsia" w:ascii="宋体" w:hAnsi="宋体" w:cs="宋体"/>
                <w:color w:val="auto"/>
                <w:szCs w:val="21"/>
                <w:highlight w:val="none"/>
              </w:rPr>
              <w:t>业绩，</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，本项</w:t>
            </w:r>
            <w:r>
              <w:rPr>
                <w:rFonts w:hint="eastAsia" w:asciiTheme="minorEastAsia" w:hAnsiTheme="minorEastAsia" w:eastAsiaTheme="minorEastAsia" w:cstheme="minorEastAsia"/>
                <w:color w:val="auto"/>
                <w:kern w:val="0"/>
                <w:szCs w:val="21"/>
                <w:highlight w:val="none"/>
                <w:shd w:val="clear" w:color="auto" w:fill="FFFFFF"/>
                <w:lang w:bidi="ar"/>
              </w:rPr>
              <w:t>最多得</w:t>
            </w:r>
            <w:r>
              <w:rPr>
                <w:rFonts w:hint="eastAsia" w:asciiTheme="minorEastAsia" w:hAnsiTheme="minorEastAsia" w:eastAsiaTheme="minorEastAsia" w:cstheme="minorEastAsia"/>
                <w:color w:val="auto"/>
                <w:kern w:val="0"/>
                <w:szCs w:val="21"/>
                <w:highlight w:val="none"/>
                <w:shd w:val="clear" w:color="auto" w:fill="FFFFFF"/>
                <w:lang w:val="en-US" w:eastAsia="zh-CN" w:bidi="ar"/>
              </w:rPr>
              <w:t>2</w:t>
            </w:r>
            <w:r>
              <w:rPr>
                <w:rFonts w:hint="eastAsia" w:asciiTheme="minorEastAsia" w:hAnsiTheme="minorEastAsia" w:eastAsiaTheme="minorEastAsia" w:cstheme="minorEastAsia"/>
                <w:color w:val="auto"/>
                <w:kern w:val="0"/>
                <w:szCs w:val="21"/>
                <w:highlight w:val="none"/>
                <w:shd w:val="clear" w:color="auto" w:fill="FFFFFF"/>
                <w:lang w:bidi="ar"/>
              </w:rPr>
              <w:t>分</w:t>
            </w:r>
            <w:r>
              <w:rPr>
                <w:rFonts w:hint="eastAsia" w:asciiTheme="minorEastAsia" w:hAnsiTheme="minorEastAsia" w:eastAsiaTheme="minorEastAsia" w:cstheme="minorEastAsia"/>
                <w:bCs/>
                <w:color w:val="auto"/>
                <w:szCs w:val="21"/>
                <w:highlight w:val="none"/>
              </w:rPr>
              <w:t>。</w:t>
            </w:r>
          </w:p>
          <w:p w14:paraId="7D638140">
            <w:pPr>
              <w:spacing w:line="400" w:lineRule="exact"/>
              <w:ind w:firstLine="422" w:firstLineChars="200"/>
              <w:rPr>
                <w:rFonts w:hint="eastAsia" w:asciiTheme="minorEastAsia" w:hAnsiTheme="minorEastAsia" w:eastAsiaTheme="minorEastAsia" w:cstheme="minorEastAsia"/>
                <w:bCs/>
                <w:color w:val="auto"/>
                <w:szCs w:val="21"/>
                <w:highlight w:val="none"/>
              </w:rPr>
            </w:pPr>
            <w:r>
              <w:rPr>
                <w:rFonts w:hint="eastAsia"/>
                <w:b/>
                <w:bCs/>
                <w:color w:val="auto"/>
                <w:highlight w:val="none"/>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盖单位公章。若合同中无法体现上述内容的，则还需出具加盖业主公章的业主证明材料。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370D0514">
      <w:pPr>
        <w:rPr>
          <w:rFonts w:hint="eastAsia" w:ascii="宋体" w:hAnsi="宋体" w:cs="宋体"/>
          <w:color w:val="auto"/>
          <w:szCs w:val="21"/>
          <w:highlight w:val="none"/>
        </w:rPr>
      </w:pPr>
      <w:bookmarkStart w:id="148" w:name="_Toc6735"/>
      <w:bookmarkStart w:id="149" w:name="_Toc19268"/>
      <w:bookmarkStart w:id="150" w:name="_Toc26037"/>
      <w:bookmarkStart w:id="151" w:name="_Toc26599"/>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r>
        <w:rPr>
          <w:rFonts w:hint="eastAsia" w:ascii="宋体" w:hAnsi="宋体" w:cs="宋体"/>
          <w:color w:val="auto"/>
          <w:szCs w:val="21"/>
          <w:highlight w:val="none"/>
        </w:rPr>
        <w:t>1.  评标方法</w:t>
      </w:r>
      <w:bookmarkEnd w:id="148"/>
      <w:bookmarkEnd w:id="149"/>
      <w:bookmarkEnd w:id="150"/>
      <w:bookmarkEnd w:id="151"/>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2" w:name="_Toc1052"/>
      <w:bookmarkStart w:id="153" w:name="_Toc11814"/>
      <w:bookmarkStart w:id="154" w:name="_Toc31759"/>
      <w:bookmarkStart w:id="155" w:name="_Toc8753"/>
      <w:bookmarkStart w:id="156" w:name="_Toc22200"/>
      <w:r>
        <w:rPr>
          <w:rFonts w:hint="eastAsia" w:ascii="宋体" w:hAnsi="宋体" w:cs="宋体"/>
          <w:color w:val="auto"/>
          <w:szCs w:val="21"/>
          <w:highlight w:val="none"/>
        </w:rPr>
        <w:t>2.  评审标准</w:t>
      </w:r>
      <w:bookmarkEnd w:id="152"/>
      <w:bookmarkEnd w:id="153"/>
      <w:bookmarkEnd w:id="154"/>
      <w:bookmarkEnd w:id="155"/>
      <w:bookmarkEnd w:id="156"/>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7" w:name="_Toc10650"/>
      <w:bookmarkStart w:id="158" w:name="_Toc5245"/>
      <w:bookmarkStart w:id="159" w:name="_Toc11564"/>
      <w:bookmarkStart w:id="160" w:name="_Toc3077"/>
      <w:bookmarkStart w:id="161" w:name="_Toc8345"/>
      <w:r>
        <w:rPr>
          <w:rFonts w:hint="eastAsia" w:ascii="宋体" w:hAnsi="宋体" w:cs="宋体"/>
          <w:color w:val="auto"/>
          <w:szCs w:val="21"/>
          <w:highlight w:val="none"/>
        </w:rPr>
        <w:t>3.  评标程序</w:t>
      </w:r>
      <w:bookmarkEnd w:id="157"/>
      <w:bookmarkEnd w:id="158"/>
      <w:bookmarkEnd w:id="159"/>
      <w:bookmarkEnd w:id="160"/>
      <w:bookmarkEnd w:id="161"/>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2" w:name="_Toc447827049"/>
      <w:bookmarkStart w:id="163" w:name="_Toc179632804"/>
      <w:bookmarkStart w:id="164" w:name="_Toc152042574"/>
      <w:bookmarkStart w:id="165" w:name="_Toc514858707"/>
      <w:bookmarkStart w:id="166" w:name="_Toc513633964"/>
      <w:bookmarkStart w:id="167" w:name="_Toc503951043"/>
      <w:bookmarkStart w:id="168" w:name="_Toc246996353"/>
      <w:bookmarkStart w:id="169" w:name="_Toc247085870"/>
      <w:bookmarkStart w:id="170" w:name="_Toc246997096"/>
      <w:bookmarkStart w:id="171" w:name="_Toc144974854"/>
      <w:bookmarkStart w:id="172" w:name="_Toc2000411"/>
      <w:bookmarkStart w:id="173" w:name="_Toc152045785"/>
      <w:bookmarkStart w:id="174" w:name="_Toc9925"/>
      <w:bookmarkStart w:id="175" w:name="_Toc15010"/>
      <w:bookmarkStart w:id="176" w:name="_Toc246997097"/>
      <w:bookmarkStart w:id="177" w:name="_Toc247085872"/>
      <w:bookmarkStart w:id="178" w:name="_Toc246996354"/>
      <w:bookmarkStart w:id="179" w:name="_Toc144974855"/>
      <w:bookmarkStart w:id="180" w:name="_Toc152045786"/>
      <w:bookmarkStart w:id="181" w:name="_Toc179632806"/>
      <w:bookmarkStart w:id="182" w:name="_Toc152042575"/>
      <w:r>
        <w:rPr>
          <w:rFonts w:hint="eastAsia" w:ascii="宋体" w:hAnsi="宋体" w:cs="宋体"/>
          <w:color w:val="auto"/>
          <w:highlight w:val="none"/>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r>
        <w:rPr>
          <w:rFonts w:hint="eastAsia" w:ascii="宋体" w:hAnsi="宋体" w:cs="宋体"/>
          <w:color w:val="auto"/>
          <w:highlight w:val="none"/>
        </w:rPr>
        <w:t>服务要求</w:t>
      </w:r>
      <w:bookmarkEnd w:id="174"/>
      <w:bookmarkEnd w:id="175"/>
    </w:p>
    <w:bookmarkEnd w:id="176"/>
    <w:bookmarkEnd w:id="177"/>
    <w:bookmarkEnd w:id="178"/>
    <w:bookmarkEnd w:id="179"/>
    <w:bookmarkEnd w:id="180"/>
    <w:bookmarkEnd w:id="181"/>
    <w:bookmarkEnd w:id="182"/>
    <w:p w14:paraId="670884DC">
      <w:pPr>
        <w:pStyle w:val="17"/>
        <w:spacing w:line="360" w:lineRule="auto"/>
        <w:ind w:firstLine="400" w:firstLineChars="200"/>
        <w:jc w:val="left"/>
        <w:outlineLvl w:val="0"/>
        <w:rPr>
          <w:rFonts w:hint="eastAsia" w:ascii="宋体" w:hAnsi="宋体" w:cs="宋体"/>
          <w:color w:val="auto"/>
          <w:highlight w:val="none"/>
        </w:rPr>
      </w:pPr>
      <w:bookmarkStart w:id="183" w:name="_Toc514858708"/>
      <w:bookmarkStart w:id="184" w:name="_Toc2000412"/>
      <w:bookmarkStart w:id="185" w:name="_Toc514430114"/>
      <w:bookmarkStart w:id="186" w:name="_Toc152042576"/>
      <w:bookmarkStart w:id="187" w:name="_Toc507320039"/>
      <w:bookmarkStart w:id="188" w:name="_Toc247085873"/>
      <w:bookmarkStart w:id="189" w:name="_Toc179632807"/>
      <w:bookmarkStart w:id="190" w:name="_Toc152045787"/>
      <w:bookmarkStart w:id="191" w:name="_Toc144974856"/>
      <w:bookmarkStart w:id="192" w:name="_Toc246997098"/>
      <w:bookmarkStart w:id="193" w:name="_Toc246996355"/>
    </w:p>
    <w:p w14:paraId="092C8452">
      <w:pPr>
        <w:pStyle w:val="17"/>
        <w:keepNext w:val="0"/>
        <w:keepLines w:val="0"/>
        <w:pageBreakBefore w:val="0"/>
        <w:widowControl w:val="0"/>
        <w:kinsoku/>
        <w:wordWrap/>
        <w:overflowPunct/>
        <w:topLinePunct w:val="0"/>
        <w:autoSpaceDE/>
        <w:autoSpaceDN/>
        <w:bidi w:val="0"/>
        <w:adjustRightInd/>
        <w:snapToGrid/>
        <w:spacing w:after="0" w:line="400" w:lineRule="exact"/>
        <w:ind w:firstLine="402" w:firstLineChars="200"/>
        <w:jc w:val="left"/>
        <w:textAlignment w:val="auto"/>
        <w:outlineLvl w:val="0"/>
        <w:rPr>
          <w:rFonts w:hint="eastAsia" w:ascii="宋体" w:hAnsi="宋体" w:cs="宋体"/>
          <w:b/>
          <w:bCs/>
          <w:color w:val="auto"/>
          <w:highlight w:val="none"/>
        </w:rPr>
      </w:pPr>
      <w:r>
        <w:rPr>
          <w:rFonts w:hint="eastAsia" w:ascii="宋体" w:hAnsi="宋体" w:cs="宋体"/>
          <w:b/>
          <w:bCs/>
          <w:color w:val="auto"/>
          <w:highlight w:val="none"/>
        </w:rPr>
        <w:t>一、服务说明</w:t>
      </w:r>
    </w:p>
    <w:p w14:paraId="3553668E">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本服务为一次性落地实施类数据库迁移项目，全部迁移改造工作完成、验收通过后即可结算费用，不含后期运维、检测报告出具等附加内容。依托数据库 REDO 日志原生架构完成存量数据库迁移改造，搭建独立主备集群，无需配套第三方软件、外置存储，一次性实现数据库高可用、异地容灾、读写分流、自动故障切换、在线扩容等全套能力落地。</w:t>
      </w:r>
    </w:p>
    <w:p w14:paraId="455F9B3E">
      <w:pPr>
        <w:pStyle w:val="17"/>
        <w:keepNext w:val="0"/>
        <w:keepLines w:val="0"/>
        <w:pageBreakBefore w:val="0"/>
        <w:widowControl w:val="0"/>
        <w:kinsoku/>
        <w:wordWrap/>
        <w:overflowPunct/>
        <w:topLinePunct w:val="0"/>
        <w:autoSpaceDE/>
        <w:autoSpaceDN/>
        <w:bidi w:val="0"/>
        <w:adjustRightInd/>
        <w:snapToGrid/>
        <w:spacing w:after="0" w:line="400" w:lineRule="exact"/>
        <w:ind w:firstLine="402" w:firstLineChars="200"/>
        <w:jc w:val="left"/>
        <w:textAlignment w:val="auto"/>
        <w:outlineLvl w:val="0"/>
        <w:rPr>
          <w:rFonts w:hint="eastAsia" w:ascii="宋体" w:hAnsi="宋体" w:cs="宋体"/>
          <w:b/>
          <w:bCs/>
          <w:color w:val="auto"/>
          <w:highlight w:val="none"/>
        </w:rPr>
      </w:pPr>
      <w:r>
        <w:rPr>
          <w:rFonts w:hint="eastAsia" w:ascii="宋体" w:hAnsi="宋体" w:cs="宋体"/>
          <w:b/>
          <w:bCs/>
          <w:color w:val="auto"/>
          <w:highlight w:val="none"/>
        </w:rPr>
        <w:t>二、迁移实施工作内容</w:t>
      </w:r>
    </w:p>
    <w:p w14:paraId="2A77BF79">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1. 高可靠主备集群搭建迁移</w:t>
      </w:r>
    </w:p>
    <w:p w14:paraId="570B2696">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基于 REDO 日志完成整套集成化主备集群迁移部署，规避硬件故障、自然灾害造成数据库长时间中断，保障业务不间断运行，同步提供产品官网链接及部署截图用于验收。搭建完整读写主库与热备库，实现异地容灾，开放备库只读访问能力，支撑报表统计、数据备份等业务，分摊主库负载，提升硬件资源利用率。</w:t>
      </w:r>
    </w:p>
    <w:p w14:paraId="5056A8F3">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2. RAFT 协议高可用集群改造落地</w:t>
      </w:r>
    </w:p>
    <w:p w14:paraId="5F6EF37C">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迁移搭建基于 RAFT 协议的主备集群，实现主库故障自动选主、单备库故障不影响业务运行，支持创建不可查询用户业务表的隔离副本。</w:t>
      </w:r>
    </w:p>
    <w:p w14:paraId="7E55A5FD">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3. 多节点集群与自动自愈能力迁移改造</w:t>
      </w:r>
    </w:p>
    <w:p w14:paraId="53AC6F57">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完成可支持 8 节点以上集群架构迁移，搭建完整数据同步、主备自动切换机制；部署统一连接服务名访问方式，主备切换后业务连接自动切换至新主库；主库故障自动触发切换，故障备库修复后自动同步历史数据，同步完成自动恢复为可切换备节点，全程无需人工操作。</w:t>
      </w:r>
    </w:p>
    <w:p w14:paraId="6A8B1E78">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4. 集群部署与在线升级改造实施</w:t>
      </w:r>
    </w:p>
    <w:p w14:paraId="3D602C1B">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仅通过主机配置文件调整即可完成集群搭建；针对存量单节点数据库开展无中断在线迁移升级，平滑改造为一主多备集群；配套部署图形化集群搭建、管理操作界面。</w:t>
      </w:r>
    </w:p>
    <w:p w14:paraId="73E2E918">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5. 多模式主备及各类数据表兼容迁移</w:t>
      </w:r>
    </w:p>
    <w:p w14:paraId="5C4011C8">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落地一主多备架构，同步部署同步备机、异步备机两种同步模式，同步架构下实现数据零丢失；故障节点重启后自动加入集群并同步全部历史数据；备库支持只读访问、临时表增删改、列存表创建、删除、修改、查询全量操作。</w:t>
      </w:r>
    </w:p>
    <w:p w14:paraId="40F8D701">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6. 在线新增实时备库功能迁移实施</w:t>
      </w:r>
    </w:p>
    <w:p w14:paraId="203CFA99">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完成集群在线扩容实时备库功能改造，新增备库过程业务无中断，满足业务弹性扩容需求。</w:t>
      </w:r>
    </w:p>
    <w:p w14:paraId="7A67B9AD">
      <w:pPr>
        <w:pStyle w:val="17"/>
        <w:keepNext w:val="0"/>
        <w:keepLines w:val="0"/>
        <w:pageBreakBefore w:val="0"/>
        <w:widowControl w:val="0"/>
        <w:kinsoku/>
        <w:wordWrap/>
        <w:overflowPunct/>
        <w:topLinePunct w:val="0"/>
        <w:autoSpaceDE/>
        <w:autoSpaceDN/>
        <w:bidi w:val="0"/>
        <w:adjustRightInd/>
        <w:snapToGrid/>
        <w:spacing w:after="0" w:line="400" w:lineRule="exact"/>
        <w:ind w:firstLine="402" w:firstLineChars="200"/>
        <w:jc w:val="left"/>
        <w:textAlignment w:val="auto"/>
        <w:outlineLvl w:val="0"/>
        <w:rPr>
          <w:rFonts w:hint="eastAsia" w:ascii="宋体" w:hAnsi="宋体" w:cs="宋体"/>
          <w:b/>
          <w:bCs/>
          <w:color w:val="auto"/>
          <w:highlight w:val="none"/>
        </w:rPr>
      </w:pPr>
      <w:r>
        <w:rPr>
          <w:rFonts w:hint="eastAsia" w:ascii="宋体" w:hAnsi="宋体" w:cs="宋体"/>
          <w:b/>
          <w:bCs/>
          <w:color w:val="auto"/>
          <w:highlight w:val="none"/>
        </w:rPr>
        <w:t>三、验收规则</w:t>
      </w:r>
    </w:p>
    <w:p w14:paraId="793DA6A3">
      <w:pPr>
        <w:pStyle w:val="17"/>
        <w:keepNext w:val="0"/>
        <w:keepLines w:val="0"/>
        <w:pageBreakBefore w:val="0"/>
        <w:widowControl w:val="0"/>
        <w:kinsoku/>
        <w:wordWrap/>
        <w:overflowPunct/>
        <w:topLinePunct w:val="0"/>
        <w:autoSpaceDE/>
        <w:autoSpaceDN/>
        <w:bidi w:val="0"/>
        <w:adjustRightInd/>
        <w:snapToGrid/>
        <w:spacing w:after="0" w:line="400" w:lineRule="exact"/>
        <w:ind w:firstLine="400" w:firstLineChars="200"/>
        <w:jc w:val="left"/>
        <w:textAlignment w:val="auto"/>
        <w:outlineLvl w:val="0"/>
        <w:rPr>
          <w:rFonts w:hint="eastAsia" w:ascii="宋体" w:hAnsi="宋体" w:cs="宋体"/>
          <w:color w:val="auto"/>
          <w:highlight w:val="none"/>
        </w:rPr>
      </w:pPr>
      <w:r>
        <w:rPr>
          <w:rFonts w:hint="eastAsia" w:ascii="宋体" w:hAnsi="宋体" w:cs="宋体"/>
          <w:color w:val="auto"/>
          <w:highlight w:val="none"/>
        </w:rPr>
        <w:t>验收标准：上述全部迁移改造功能部署完成，现场验证运行正常。</w:t>
      </w:r>
    </w:p>
    <w:p w14:paraId="6A3CE392">
      <w:pPr>
        <w:pStyle w:val="17"/>
        <w:keepNext w:val="0"/>
        <w:keepLines w:val="0"/>
        <w:pageBreakBefore w:val="0"/>
        <w:widowControl w:val="0"/>
        <w:kinsoku/>
        <w:wordWrap/>
        <w:overflowPunct/>
        <w:topLinePunct w:val="0"/>
        <w:autoSpaceDE/>
        <w:autoSpaceDN/>
        <w:bidi w:val="0"/>
        <w:adjustRightInd/>
        <w:snapToGrid/>
        <w:spacing w:after="0" w:line="360" w:lineRule="auto"/>
        <w:ind w:firstLine="400" w:firstLineChars="200"/>
        <w:jc w:val="center"/>
        <w:textAlignment w:val="auto"/>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4" w:name="_Toc9951"/>
      <w:bookmarkStart w:id="195" w:name="_Toc17525"/>
      <w:r>
        <w:rPr>
          <w:rFonts w:hint="eastAsia" w:ascii="宋体" w:hAnsi="宋体" w:cs="宋体"/>
          <w:b/>
          <w:bCs/>
          <w:color w:val="auto"/>
          <w:kern w:val="44"/>
          <w:sz w:val="44"/>
          <w:szCs w:val="44"/>
          <w:highlight w:val="none"/>
        </w:rPr>
        <w:t xml:space="preserve">第五章  </w:t>
      </w:r>
      <w:bookmarkEnd w:id="183"/>
      <w:bookmarkEnd w:id="184"/>
      <w:bookmarkEnd w:id="185"/>
      <w:r>
        <w:rPr>
          <w:rFonts w:hint="eastAsia" w:ascii="宋体" w:hAnsi="宋体" w:cs="宋体"/>
          <w:b/>
          <w:bCs/>
          <w:color w:val="auto"/>
          <w:kern w:val="44"/>
          <w:sz w:val="44"/>
          <w:szCs w:val="44"/>
          <w:highlight w:val="none"/>
        </w:rPr>
        <w:t>合同范本</w:t>
      </w:r>
      <w:bookmarkEnd w:id="194"/>
      <w:bookmarkEnd w:id="195"/>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6"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197" w:name="_Toc27626"/>
      <w:bookmarkStart w:id="198" w:name="_Toc11571"/>
      <w:bookmarkStart w:id="199" w:name="_Toc2000413"/>
      <w:bookmarkStart w:id="200" w:name="_Toc514858709"/>
      <w:r>
        <w:rPr>
          <w:rFonts w:hint="eastAsia" w:ascii="宋体" w:hAnsi="宋体" w:cs="宋体"/>
          <w:color w:val="auto"/>
          <w:highlight w:val="none"/>
        </w:rPr>
        <w:t>第六章  竞争性比选响应文件格式</w:t>
      </w:r>
      <w:bookmarkEnd w:id="196"/>
      <w:bookmarkEnd w:id="197"/>
      <w:bookmarkEnd w:id="198"/>
      <w:bookmarkEnd w:id="199"/>
      <w:bookmarkEnd w:id="200"/>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1" w:name="_Toc513633967"/>
      <w:bookmarkStart w:id="202" w:name="_Toc514858710"/>
      <w:bookmarkStart w:id="203"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1"/>
      <w:bookmarkEnd w:id="202"/>
      <w:bookmarkEnd w:id="203"/>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6"/>
    <w:bookmarkEnd w:id="187"/>
    <w:bookmarkEnd w:id="188"/>
    <w:bookmarkEnd w:id="189"/>
    <w:bookmarkEnd w:id="190"/>
    <w:bookmarkEnd w:id="191"/>
    <w:bookmarkEnd w:id="192"/>
    <w:bookmarkEnd w:id="193"/>
    <w:p w14:paraId="357BD6A4">
      <w:pPr>
        <w:keepNext/>
        <w:keepLines/>
        <w:spacing w:line="416" w:lineRule="auto"/>
        <w:jc w:val="center"/>
        <w:rPr>
          <w:rFonts w:hint="eastAsia" w:ascii="宋体" w:hAnsi="宋体" w:cs="宋体"/>
          <w:color w:val="auto"/>
          <w:sz w:val="32"/>
          <w:szCs w:val="40"/>
          <w:highlight w:val="none"/>
        </w:rPr>
      </w:pPr>
      <w:bookmarkStart w:id="204" w:name="_Toc28780"/>
      <w:bookmarkStart w:id="205" w:name="_Toc5459"/>
      <w:bookmarkStart w:id="206" w:name="_Toc11329273"/>
      <w:bookmarkStart w:id="207" w:name="_Toc1368"/>
      <w:r>
        <w:rPr>
          <w:rFonts w:hint="eastAsia" w:ascii="宋体" w:hAnsi="宋体" w:cs="宋体"/>
          <w:color w:val="auto"/>
          <w:sz w:val="32"/>
          <w:szCs w:val="40"/>
          <w:highlight w:val="none"/>
        </w:rPr>
        <w:t>目    录</w:t>
      </w:r>
      <w:bookmarkEnd w:id="204"/>
      <w:bookmarkEnd w:id="205"/>
      <w:bookmarkEnd w:id="206"/>
      <w:bookmarkEnd w:id="207"/>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4"/>
        </w:numPr>
        <w:spacing w:before="0" w:after="0" w:line="360" w:lineRule="auto"/>
        <w:jc w:val="center"/>
        <w:rPr>
          <w:rFonts w:hint="eastAsia" w:ascii="宋体" w:hAnsi="宋体" w:eastAsia="宋体" w:cs="宋体"/>
          <w:color w:val="auto"/>
          <w:sz w:val="28"/>
          <w:highlight w:val="none"/>
        </w:rPr>
      </w:pPr>
      <w:bookmarkStart w:id="208" w:name="_Toc24387"/>
      <w:bookmarkStart w:id="209" w:name="_Toc447827053"/>
      <w:bookmarkStart w:id="210" w:name="_Toc503951048"/>
      <w:bookmarkStart w:id="211" w:name="_Toc513633969"/>
      <w:r>
        <w:rPr>
          <w:rFonts w:hint="eastAsia" w:ascii="宋体" w:hAnsi="宋体" w:eastAsia="宋体" w:cs="宋体"/>
          <w:color w:val="auto"/>
          <w:sz w:val="28"/>
          <w:highlight w:val="none"/>
        </w:rPr>
        <w:t>竞争性比选响应声明书</w:t>
      </w:r>
      <w:bookmarkEnd w:id="208"/>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2" w:name="_Toc27815"/>
      <w:bookmarkStart w:id="213" w:name="_Toc491883232"/>
    </w:p>
    <w:p w14:paraId="7A660741">
      <w:pPr>
        <w:pStyle w:val="42"/>
        <w:rPr>
          <w:color w:val="auto"/>
          <w:highlight w:val="none"/>
        </w:rPr>
      </w:pPr>
    </w:p>
    <w:p w14:paraId="373147B1">
      <w:pPr>
        <w:pStyle w:val="42"/>
        <w:rPr>
          <w:color w:val="auto"/>
          <w:highlight w:val="none"/>
        </w:rPr>
      </w:pPr>
    </w:p>
    <w:p w14:paraId="0117D19E">
      <w:pPr>
        <w:pStyle w:val="3"/>
        <w:numPr>
          <w:ilvl w:val="0"/>
          <w:numId w:val="4"/>
        </w:numPr>
        <w:spacing w:before="0" w:after="0" w:line="360" w:lineRule="auto"/>
        <w:jc w:val="center"/>
        <w:rPr>
          <w:rFonts w:hint="eastAsia" w:ascii="宋体" w:hAnsi="宋体" w:eastAsia="宋体" w:cs="宋体"/>
          <w:color w:val="auto"/>
          <w:sz w:val="28"/>
          <w:highlight w:val="none"/>
        </w:rPr>
      </w:pPr>
      <w:bookmarkStart w:id="214" w:name="_Toc15139"/>
      <w:bookmarkStart w:id="215" w:name="_Toc12064"/>
      <w:r>
        <w:rPr>
          <w:rFonts w:hint="eastAsia" w:ascii="宋体" w:hAnsi="宋体" w:eastAsia="宋体" w:cs="宋体"/>
          <w:color w:val="auto"/>
          <w:sz w:val="28"/>
          <w:highlight w:val="none"/>
        </w:rPr>
        <w:t>法定代表人身份证明或法定代表人授权委托书</w:t>
      </w:r>
      <w:bookmarkEnd w:id="212"/>
      <w:bookmarkEnd w:id="214"/>
      <w:bookmarkEnd w:id="215"/>
    </w:p>
    <w:bookmarkEnd w:id="213"/>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6" w:name="_Toc20985"/>
      <w:bookmarkStart w:id="217" w:name="_Toc14141"/>
      <w:r>
        <w:rPr>
          <w:rFonts w:hint="eastAsia" w:ascii="宋体" w:hAnsi="宋体" w:eastAsia="宋体" w:cs="宋体"/>
          <w:b/>
          <w:bCs/>
          <w:color w:val="auto"/>
          <w:sz w:val="24"/>
          <w:szCs w:val="24"/>
          <w:highlight w:val="none"/>
        </w:rPr>
        <w:t>（一）法定代表人身份证明</w:t>
      </w:r>
      <w:bookmarkEnd w:id="216"/>
      <w:bookmarkEnd w:id="217"/>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18" w:name="_Toc352691662"/>
      <w:bookmarkStart w:id="219" w:name="_Toc369531698"/>
      <w:bookmarkStart w:id="220" w:name="_Toc27897"/>
      <w:r>
        <w:rPr>
          <w:rFonts w:ascii="宋体" w:hAnsi="宋体"/>
          <w:color w:val="auto"/>
          <w:highlight w:val="none"/>
          <w:u w:val="single"/>
        </w:rPr>
        <w:t xml:space="preserve">        </w:t>
      </w:r>
      <w:r>
        <w:rPr>
          <w:rFonts w:ascii="宋体" w:hAnsi="宋体"/>
          <w:color w:val="auto"/>
          <w:highlight w:val="none"/>
        </w:rPr>
        <w:t>年</w:t>
      </w:r>
      <w:bookmarkEnd w:id="218"/>
      <w:bookmarkEnd w:id="219"/>
      <w:bookmarkEnd w:id="220"/>
      <w:r>
        <w:rPr>
          <w:rFonts w:ascii="宋体" w:hAnsi="宋体"/>
          <w:color w:val="auto"/>
          <w:highlight w:val="none"/>
        </w:rPr>
        <w:t>龄</w:t>
      </w:r>
      <w:bookmarkStart w:id="221" w:name="_Toc144974858"/>
      <w:bookmarkStart w:id="222" w:name="_Toc247514248"/>
      <w:bookmarkStart w:id="223" w:name="_Toc152042578"/>
      <w:bookmarkStart w:id="224" w:name="_Toc384308377"/>
      <w:bookmarkStart w:id="225" w:name="_Toc247527829"/>
      <w:bookmarkStart w:id="226" w:name="_Toc352691663"/>
      <w:bookmarkStart w:id="227" w:name="_Toc369531699"/>
      <w:bookmarkStart w:id="228" w:name="_Toc300835211"/>
      <w:bookmarkStart w:id="229" w:name="_Toc152045789"/>
      <w:bookmarkStart w:id="230" w:name="_Toc361508754"/>
      <w:bookmarkStart w:id="231" w:name="_Toc15573"/>
      <w:r>
        <w:rPr>
          <w:rFonts w:ascii="宋体" w:hAnsi="宋体"/>
          <w:color w:val="auto"/>
          <w:highlight w:val="none"/>
        </w:rPr>
        <w:t>：</w:t>
      </w:r>
      <w:bookmarkEnd w:id="221"/>
      <w:bookmarkEnd w:id="222"/>
      <w:bookmarkEnd w:id="223"/>
      <w:bookmarkEnd w:id="224"/>
      <w:bookmarkEnd w:id="225"/>
      <w:bookmarkEnd w:id="226"/>
      <w:bookmarkEnd w:id="227"/>
      <w:bookmarkEnd w:id="228"/>
      <w:bookmarkEnd w:id="229"/>
      <w:bookmarkEnd w:id="230"/>
      <w:bookmarkEnd w:id="23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2" w:name="_Toc491883233"/>
      <w:bookmarkStart w:id="233" w:name="_Toc3882"/>
      <w:bookmarkStart w:id="234" w:name="_Toc58"/>
      <w:r>
        <w:rPr>
          <w:rFonts w:hint="eastAsia" w:ascii="宋体" w:hAnsi="宋体" w:eastAsia="宋体" w:cs="宋体"/>
          <w:b/>
          <w:bCs/>
          <w:color w:val="auto"/>
          <w:sz w:val="24"/>
          <w:szCs w:val="24"/>
          <w:highlight w:val="none"/>
        </w:rPr>
        <w:t>（二）</w:t>
      </w:r>
      <w:bookmarkEnd w:id="232"/>
      <w:r>
        <w:rPr>
          <w:rFonts w:hint="eastAsia" w:ascii="宋体" w:hAnsi="宋体" w:eastAsia="宋体" w:cs="宋体"/>
          <w:b/>
          <w:bCs/>
          <w:color w:val="auto"/>
          <w:sz w:val="24"/>
          <w:szCs w:val="24"/>
          <w:highlight w:val="none"/>
        </w:rPr>
        <w:t>法定代表人授权委托书</w:t>
      </w:r>
      <w:bookmarkEnd w:id="233"/>
      <w:bookmarkEnd w:id="234"/>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5" w:name="_Toc11329275"/>
      <w:bookmarkStart w:id="236" w:name="_Toc31983"/>
      <w:bookmarkStart w:id="237" w:name="_Toc11728"/>
      <w:r>
        <w:rPr>
          <w:rFonts w:hint="eastAsia" w:ascii="宋体" w:hAnsi="宋体" w:eastAsia="宋体" w:cs="宋体"/>
          <w:color w:val="auto"/>
          <w:sz w:val="28"/>
          <w:highlight w:val="none"/>
        </w:rPr>
        <w:t>三、</w:t>
      </w:r>
      <w:bookmarkEnd w:id="209"/>
      <w:bookmarkEnd w:id="210"/>
      <w:bookmarkEnd w:id="211"/>
      <w:bookmarkEnd w:id="235"/>
      <w:bookmarkEnd w:id="236"/>
      <w:bookmarkStart w:id="238" w:name="_Toc11329278"/>
      <w:bookmarkStart w:id="239" w:name="_Toc513633971"/>
      <w:bookmarkStart w:id="240" w:name="_Toc503951050"/>
      <w:bookmarkStart w:id="241" w:name="_Toc447827058"/>
      <w:bookmarkStart w:id="242" w:name="_Toc246997112"/>
      <w:bookmarkStart w:id="243" w:name="_Toc144974871"/>
      <w:bookmarkStart w:id="244" w:name="_Toc247085887"/>
      <w:bookmarkStart w:id="245" w:name="_Toc179632823"/>
      <w:bookmarkStart w:id="246" w:name="_Toc152045803"/>
      <w:bookmarkStart w:id="247" w:name="_Toc152042592"/>
      <w:bookmarkStart w:id="248" w:name="_Toc246996369"/>
      <w:r>
        <w:rPr>
          <w:rFonts w:hint="eastAsia" w:ascii="宋体" w:hAnsi="宋体" w:eastAsia="宋体" w:cs="宋体"/>
          <w:color w:val="auto"/>
          <w:sz w:val="28"/>
          <w:highlight w:val="none"/>
        </w:rPr>
        <w:t>报价一览表</w:t>
      </w:r>
      <w:bookmarkEnd w:id="237"/>
    </w:p>
    <w:p w14:paraId="1F1D3E7D">
      <w:pPr>
        <w:ind w:left="765"/>
        <w:jc w:val="center"/>
        <w:rPr>
          <w:rFonts w:hint="eastAsia" w:ascii="宋体" w:hAnsi="宋体" w:cs="宋体"/>
          <w:color w:val="auto"/>
          <w:szCs w:val="21"/>
          <w:highlight w:val="none"/>
        </w:rPr>
      </w:pPr>
    </w:p>
    <w:p w14:paraId="14E49297">
      <w:pPr>
        <w:pStyle w:val="38"/>
        <w:shd w:val="clear"/>
        <w:spacing w:line="480" w:lineRule="auto"/>
        <w:jc w:val="both"/>
        <w:rPr>
          <w:rFonts w:hint="eastAsia" w:hAnsi="宋体"/>
          <w:color w:val="auto"/>
          <w:highlight w:val="none"/>
        </w:rPr>
      </w:pPr>
      <w:r>
        <w:rPr>
          <w:rFonts w:hint="eastAsia" w:hAnsi="宋体"/>
          <w:color w:val="auto"/>
          <w:highlight w:val="none"/>
        </w:rPr>
        <w:t>重庆首讯科技股份有限公司：</w:t>
      </w:r>
    </w:p>
    <w:p w14:paraId="1FD85F4F">
      <w:pPr>
        <w:shd w:val="clea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3"/>
        <w:tblpPr w:leftFromText="180" w:rightFromText="180" w:vertAnchor="text" w:horzAnchor="page" w:tblpX="1889" w:tblpY="228"/>
        <w:tblOverlap w:val="never"/>
        <w:tblW w:w="91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7"/>
        <w:gridCol w:w="1464"/>
        <w:gridCol w:w="1145"/>
        <w:gridCol w:w="1010"/>
        <w:gridCol w:w="736"/>
        <w:gridCol w:w="1109"/>
        <w:gridCol w:w="1164"/>
        <w:gridCol w:w="1036"/>
        <w:gridCol w:w="901"/>
      </w:tblGrid>
      <w:tr w14:paraId="62F80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99D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9E41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服务项目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FD0C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数据库品牌</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A8D7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服务需求</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F41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18B65">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单价最高限价（元）</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8A65">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单价报价（元）</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2C94">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合价（元）</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1B81">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7D603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1"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D9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DB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国产数据库迁移改造服务</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7C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达梦</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C59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详见第四章 服务要求</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625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1项</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30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108000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17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57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 </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8978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CE65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65C9B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不含税总报价</w:t>
            </w:r>
            <w:r>
              <w:rPr>
                <w:rFonts w:hint="eastAsia" w:ascii="宋体" w:hAnsi="宋体" w:eastAsia="宋体" w:cs="宋体"/>
                <w:i w:val="0"/>
                <w:iCs w:val="0"/>
                <w:color w:val="auto"/>
                <w:sz w:val="21"/>
                <w:szCs w:val="21"/>
                <w:highlight w:val="none"/>
                <w:u w:val="none"/>
                <w:lang w:val="en-US" w:eastAsia="zh-CN"/>
              </w:rPr>
              <w:t>（元）</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75DA8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0A4D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0F1AF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税率（%）</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D60E9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F02D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9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D48B4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含税总报价</w:t>
            </w:r>
            <w:r>
              <w:rPr>
                <w:rFonts w:hint="eastAsia" w:ascii="宋体" w:hAnsi="宋体" w:eastAsia="宋体" w:cs="宋体"/>
                <w:i w:val="0"/>
                <w:iCs w:val="0"/>
                <w:color w:val="auto"/>
                <w:sz w:val="21"/>
                <w:szCs w:val="21"/>
                <w:highlight w:val="none"/>
                <w:u w:val="none"/>
                <w:lang w:val="en-US" w:eastAsia="zh-CN"/>
              </w:rPr>
              <w:t>（元）</w:t>
            </w:r>
          </w:p>
        </w:tc>
        <w:tc>
          <w:tcPr>
            <w:tcW w:w="4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F0359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bl>
    <w:p w14:paraId="771823E9">
      <w:pPr>
        <w:shd w:val="clear"/>
        <w:spacing w:line="480" w:lineRule="auto"/>
        <w:ind w:firstLine="422" w:firstLineChars="200"/>
        <w:jc w:val="left"/>
        <w:rPr>
          <w:rFonts w:hint="eastAsia" w:ascii="宋体" w:hAnsi="宋体"/>
          <w:b/>
          <w:color w:val="auto"/>
          <w:szCs w:val="21"/>
          <w:highlight w:val="none"/>
        </w:rPr>
      </w:pPr>
    </w:p>
    <w:p w14:paraId="26EF140B">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3CE0B141">
      <w:pPr>
        <w:shd w:val="clea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12FCDA7D">
      <w:pPr>
        <w:shd w:val="clear"/>
        <w:spacing w:line="480" w:lineRule="auto"/>
        <w:ind w:firstLine="4800" w:firstLineChars="2000"/>
        <w:rPr>
          <w:rFonts w:hint="eastAsia" w:ascii="宋体" w:hAnsi="宋体"/>
          <w:color w:val="auto"/>
          <w:sz w:val="24"/>
          <w:highlight w:val="none"/>
        </w:rPr>
      </w:pPr>
    </w:p>
    <w:p w14:paraId="0956B904">
      <w:pPr>
        <w:shd w:val="clea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5F048C7E">
      <w:pPr>
        <w:shd w:val="clea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4C8EA6E6">
      <w:pPr>
        <w:shd w:val="clea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7A59954">
      <w:pPr>
        <w:shd w:val="clear"/>
        <w:jc w:val="right"/>
        <w:rPr>
          <w:rFonts w:hint="eastAsia" w:ascii="宋体" w:hAnsi="宋体"/>
          <w:b/>
          <w:bCs/>
          <w:color w:val="auto"/>
          <w:kern w:val="0"/>
          <w:szCs w:val="21"/>
          <w:highlight w:val="none"/>
          <w:u w:val="single"/>
        </w:rPr>
      </w:pPr>
    </w:p>
    <w:p w14:paraId="46F7E1D7">
      <w:pPr>
        <w:shd w:val="clea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3074F950">
      <w:pPr>
        <w:jc w:val="right"/>
        <w:rPr>
          <w:rFonts w:hint="eastAsia" w:ascii="宋体" w:hAnsi="宋体"/>
          <w:b/>
          <w:bCs/>
          <w:color w:val="auto"/>
          <w:kern w:val="0"/>
          <w:szCs w:val="21"/>
          <w:highlight w:val="none"/>
        </w:rPr>
      </w:pPr>
      <w:r>
        <w:rPr>
          <w:rFonts w:hint="eastAsia" w:ascii="宋体" w:hAnsi="宋体" w:eastAsia="宋体" w:cs="宋体"/>
          <w:color w:val="auto"/>
          <w:sz w:val="28"/>
          <w:highlight w:val="none"/>
        </w:rPr>
        <w:br w:type="page"/>
      </w:r>
    </w:p>
    <w:p w14:paraId="236F5C2E">
      <w:pPr>
        <w:pStyle w:val="3"/>
        <w:spacing w:before="0" w:after="0" w:line="360" w:lineRule="auto"/>
        <w:jc w:val="center"/>
        <w:rPr>
          <w:rFonts w:hint="eastAsia" w:ascii="宋体" w:hAnsi="宋体" w:eastAsia="宋体" w:cs="宋体"/>
          <w:color w:val="auto"/>
          <w:sz w:val="28"/>
          <w:highlight w:val="none"/>
        </w:rPr>
      </w:pPr>
      <w:bookmarkStart w:id="249" w:name="_Toc12910"/>
      <w:bookmarkStart w:id="250" w:name="_Toc17816"/>
      <w:bookmarkStart w:id="251" w:name="_Toc4544"/>
      <w:bookmarkStart w:id="252" w:name="_Toc11961"/>
      <w:bookmarkStart w:id="253" w:name="_Toc18757"/>
      <w:r>
        <w:rPr>
          <w:rFonts w:hint="eastAsia" w:ascii="宋体" w:hAnsi="宋体" w:eastAsia="宋体" w:cs="宋体"/>
          <w:color w:val="auto"/>
          <w:sz w:val="28"/>
          <w:highlight w:val="none"/>
        </w:rPr>
        <w:t>四、资格审查资料</w:t>
      </w:r>
      <w:bookmarkEnd w:id="238"/>
      <w:bookmarkEnd w:id="239"/>
      <w:bookmarkEnd w:id="240"/>
      <w:bookmarkEnd w:id="249"/>
      <w:bookmarkEnd w:id="250"/>
      <w:bookmarkEnd w:id="251"/>
      <w:bookmarkEnd w:id="252"/>
      <w:bookmarkEnd w:id="253"/>
    </w:p>
    <w:bookmarkEnd w:id="241"/>
    <w:bookmarkEnd w:id="242"/>
    <w:bookmarkEnd w:id="243"/>
    <w:bookmarkEnd w:id="244"/>
    <w:bookmarkEnd w:id="245"/>
    <w:bookmarkEnd w:id="246"/>
    <w:bookmarkEnd w:id="247"/>
    <w:bookmarkEnd w:id="248"/>
    <w:p w14:paraId="616B92E2">
      <w:pPr>
        <w:jc w:val="center"/>
        <w:rPr>
          <w:rFonts w:hint="eastAsia" w:ascii="宋体" w:hAnsi="宋体" w:cs="宋体"/>
          <w:b/>
          <w:bCs/>
          <w:color w:val="auto"/>
          <w:sz w:val="28"/>
          <w:highlight w:val="none"/>
        </w:rPr>
      </w:pPr>
      <w:bookmarkStart w:id="254" w:name="_Toc513633974"/>
      <w:bookmarkStart w:id="255" w:name="_Toc503951058"/>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3B8C4D98">
            <w:pPr>
              <w:spacing w:line="400" w:lineRule="exact"/>
              <w:ind w:firstLine="420" w:firstLineChars="200"/>
              <w:rPr>
                <w:rFonts w:hint="eastAsia" w:ascii="宋体" w:hAnsi="宋体" w:cs="宋体"/>
                <w:color w:val="auto"/>
                <w:szCs w:val="21"/>
                <w:highlight w:val="none"/>
                <w:shd w:val="clear" w:color="auto" w:fill="FCFCFC"/>
              </w:rPr>
            </w:pPr>
            <w:bookmarkStart w:id="256" w:name="资质要求2"/>
            <w:r>
              <w:rPr>
                <w:rFonts w:hint="eastAsia" w:ascii="宋体" w:hAnsi="宋体" w:cs="宋体"/>
                <w:color w:val="auto"/>
                <w:szCs w:val="21"/>
                <w:highlight w:val="none"/>
                <w:shd w:val="clear" w:color="auto" w:fill="FCFCFC"/>
              </w:rPr>
              <w:t xml:space="preserve">（1）报价人具有独立法人资格及有效的营业执照或事业单位法人证书。 </w:t>
            </w:r>
          </w:p>
          <w:p w14:paraId="44A0BD8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shd w:val="clear" w:color="auto" w:fill="FCFCFC"/>
              </w:rPr>
              <w:t>（2）因本项目平台使用达梦数据库，报价人须提供达梦授权代理证书或针对本项目的授权证书。</w:t>
            </w:r>
            <w:bookmarkEnd w:id="256"/>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57" w:name="业绩要求2"/>
            <w:r>
              <w:rPr>
                <w:rFonts w:hint="eastAsia" w:ascii="宋体" w:hAnsi="宋体" w:cs="宋体"/>
                <w:color w:val="auto"/>
                <w:szCs w:val="21"/>
                <w:highlight w:val="none"/>
              </w:rPr>
              <w:t>2023年1月1日至竞争性比选文件发出之日（以合同签订时间为准）起至少承担一项合同金额不低于5万元的软件开发服务业绩</w:t>
            </w:r>
            <w:bookmarkEnd w:id="257"/>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color w:val="auto"/>
                <w:szCs w:val="21"/>
                <w:highlight w:val="none"/>
              </w:rPr>
            </w:pPr>
            <w:bookmarkStart w:id="258" w:name="主要管理人员要求1"/>
            <w:r>
              <w:rPr>
                <w:rFonts w:hint="eastAsia" w:ascii="宋体" w:hAnsi="宋体" w:cs="宋体"/>
                <w:color w:val="auto"/>
                <w:szCs w:val="21"/>
                <w:highlight w:val="none"/>
              </w:rPr>
              <w:t>报价人承诺拟派1名项目负责人为本项目服务</w:t>
            </w:r>
            <w:bookmarkEnd w:id="258"/>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bookmarkStart w:id="259" w:name="其他人员要求1"/>
            <w:r>
              <w:rPr>
                <w:rFonts w:hint="eastAsia" w:ascii="宋体" w:hAnsi="宋体" w:cs="宋体"/>
                <w:color w:val="auto"/>
                <w:szCs w:val="21"/>
                <w:highlight w:val="none"/>
              </w:rPr>
              <w:t>报价人承诺至少拟派2名实施开发人员为本项目服务，并承诺跟随甲方服务需求随时增减人员数量。</w:t>
            </w:r>
            <w:bookmarkEnd w:id="259"/>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7"/>
        <w:rPr>
          <w:rFonts w:hint="eastAsia" w:ascii="宋体" w:hAnsi="宋体" w:cs="宋体"/>
          <w:color w:val="auto"/>
          <w:sz w:val="28"/>
          <w:highlight w:val="none"/>
        </w:rPr>
      </w:pPr>
    </w:p>
    <w:p w14:paraId="034ECCAA">
      <w:pPr>
        <w:pStyle w:val="17"/>
        <w:rPr>
          <w:rFonts w:hint="eastAsia" w:ascii="宋体" w:hAnsi="宋体" w:cs="宋体"/>
          <w:color w:val="auto"/>
          <w:sz w:val="28"/>
          <w:highlight w:val="none"/>
        </w:rPr>
      </w:pPr>
    </w:p>
    <w:p w14:paraId="18DF373C">
      <w:pPr>
        <w:pStyle w:val="17"/>
        <w:rPr>
          <w:rFonts w:hint="eastAsia" w:ascii="宋体" w:hAnsi="宋体" w:cs="宋体"/>
          <w:color w:val="auto"/>
          <w:sz w:val="28"/>
          <w:highlight w:val="none"/>
        </w:rPr>
      </w:pPr>
    </w:p>
    <w:p w14:paraId="21DD2613">
      <w:pPr>
        <w:pStyle w:val="17"/>
        <w:rPr>
          <w:rFonts w:hint="eastAsia" w:ascii="宋体" w:hAnsi="宋体" w:cs="宋体"/>
          <w:color w:val="auto"/>
          <w:sz w:val="28"/>
          <w:highlight w:val="none"/>
        </w:rPr>
      </w:pPr>
    </w:p>
    <w:p w14:paraId="62704E4F">
      <w:pPr>
        <w:pStyle w:val="17"/>
        <w:rPr>
          <w:rFonts w:hint="eastAsia" w:ascii="宋体" w:hAnsi="宋体" w:cs="宋体"/>
          <w:color w:val="auto"/>
          <w:sz w:val="28"/>
          <w:highlight w:val="none"/>
        </w:rPr>
      </w:pPr>
    </w:p>
    <w:p w14:paraId="4F2C5F33">
      <w:pPr>
        <w:pStyle w:val="17"/>
        <w:rPr>
          <w:rFonts w:hint="eastAsia" w:ascii="宋体" w:hAnsi="宋体" w:cs="宋体"/>
          <w:color w:val="auto"/>
          <w:sz w:val="28"/>
          <w:highlight w:val="none"/>
        </w:rPr>
      </w:pPr>
    </w:p>
    <w:p w14:paraId="3123AD0E">
      <w:pPr>
        <w:pStyle w:val="17"/>
        <w:rPr>
          <w:rFonts w:hint="eastAsia" w:ascii="宋体" w:hAnsi="宋体" w:cs="宋体"/>
          <w:color w:val="auto"/>
          <w:sz w:val="28"/>
          <w:highlight w:val="none"/>
        </w:rPr>
      </w:pPr>
    </w:p>
    <w:p w14:paraId="14A9698C">
      <w:pPr>
        <w:pStyle w:val="17"/>
        <w:rPr>
          <w:rFonts w:hint="eastAsia" w:ascii="宋体" w:hAnsi="宋体" w:cs="宋体"/>
          <w:color w:val="auto"/>
          <w:sz w:val="28"/>
          <w:highlight w:val="none"/>
        </w:rPr>
      </w:pPr>
    </w:p>
    <w:p w14:paraId="496D02F5">
      <w:pPr>
        <w:pStyle w:val="17"/>
        <w:rPr>
          <w:rFonts w:hint="eastAsia" w:ascii="宋体" w:hAnsi="宋体" w:cs="宋体"/>
          <w:color w:val="auto"/>
          <w:sz w:val="28"/>
          <w:highlight w:val="none"/>
        </w:rPr>
      </w:pPr>
    </w:p>
    <w:p w14:paraId="7631D70D">
      <w:pPr>
        <w:pStyle w:val="17"/>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60" w:name="_Toc7326"/>
      <w:bookmarkStart w:id="261" w:name="_Toc26280"/>
      <w:r>
        <w:rPr>
          <w:rFonts w:hint="eastAsia" w:ascii="宋体" w:hAnsi="宋体" w:eastAsia="宋体" w:cs="宋体"/>
          <w:color w:val="auto"/>
          <w:sz w:val="28"/>
          <w:highlight w:val="none"/>
        </w:rPr>
        <w:t>五、报价人承诺</w:t>
      </w:r>
      <w:bookmarkEnd w:id="260"/>
      <w:bookmarkEnd w:id="261"/>
    </w:p>
    <w:p w14:paraId="6252CEFA">
      <w:pPr>
        <w:pStyle w:val="17"/>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62" w:name="_Toc7792"/>
      <w:bookmarkStart w:id="263" w:name="_Toc22594"/>
      <w:r>
        <w:rPr>
          <w:rFonts w:hint="eastAsia" w:ascii="宋体" w:hAnsi="宋体" w:cs="宋体"/>
          <w:b/>
          <w:bCs/>
          <w:color w:val="auto"/>
          <w:kern w:val="0"/>
          <w:sz w:val="28"/>
          <w:szCs w:val="32"/>
          <w:highlight w:val="none"/>
        </w:rPr>
        <w:t>六、报价人其他资料</w:t>
      </w:r>
      <w:bookmarkEnd w:id="262"/>
      <w:bookmarkEnd w:id="263"/>
    </w:p>
    <w:p w14:paraId="17DAB8DB">
      <w:pPr>
        <w:pStyle w:val="17"/>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7"/>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4" w:name="OLE_LINK4"/>
      <w:r>
        <w:rPr>
          <w:rFonts w:hint="eastAsia" w:ascii="宋体" w:hAnsi="宋体" w:cs="宋体"/>
          <w:b/>
          <w:bCs/>
          <w:color w:val="auto"/>
          <w:kern w:val="0"/>
          <w:sz w:val="28"/>
          <w:szCs w:val="32"/>
          <w:highlight w:val="none"/>
        </w:rPr>
        <w:t>（三）商务部分</w:t>
      </w:r>
    </w:p>
    <w:bookmarkEnd w:id="264"/>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5" w:name="_Toc14007"/>
      <w:bookmarkStart w:id="266" w:name="_Toc32475"/>
      <w:r>
        <w:rPr>
          <w:rFonts w:hint="eastAsia" w:ascii="宋体" w:hAnsi="宋体" w:cs="宋体"/>
          <w:color w:val="auto"/>
          <w:kern w:val="2"/>
          <w:sz w:val="21"/>
          <w:szCs w:val="21"/>
          <w:highlight w:val="none"/>
          <w:lang w:bidi="ar"/>
        </w:rPr>
        <w:t>报价合理性说明</w:t>
      </w:r>
      <w:bookmarkEnd w:id="265"/>
      <w:bookmarkEnd w:id="266"/>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7"/>
        <w:rPr>
          <w:color w:val="auto"/>
          <w:highlight w:val="none"/>
        </w:rPr>
      </w:pPr>
    </w:p>
    <w:p w14:paraId="07D3CC1E">
      <w:pPr>
        <w:rPr>
          <w:rFonts w:hint="eastAsia" w:ascii="宋体" w:hAnsi="宋体" w:cs="宋体"/>
          <w:color w:val="auto"/>
          <w:sz w:val="28"/>
          <w:highlight w:val="none"/>
        </w:rPr>
      </w:pPr>
    </w:p>
    <w:bookmarkEnd w:id="254"/>
    <w:bookmarkEnd w:id="255"/>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657D221-9155-4BB9-AB0C-EBE50A69D9A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D1323CD2-5682-402D-AA5E-149D2BD667D6}"/>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FD51D0CD-93CC-4440-A3F4-93E27CE5E0EE}"/>
  </w:font>
  <w:font w:name="方正小标宋_GBK">
    <w:panose1 w:val="03000509000000000000"/>
    <w:charset w:val="86"/>
    <w:family w:val="script"/>
    <w:pitch w:val="default"/>
    <w:sig w:usb0="00000001" w:usb1="080E0000" w:usb2="00000000" w:usb3="00000000" w:csb0="00040000" w:csb1="00000000"/>
    <w:embedRegular r:id="rId4" w:fontKey="{ECBEBD74-3881-4295-9D5A-75416C896C0C}"/>
  </w:font>
  <w:font w:name="仿宋">
    <w:panose1 w:val="02010609060101010101"/>
    <w:charset w:val="86"/>
    <w:family w:val="modern"/>
    <w:pitch w:val="default"/>
    <w:sig w:usb0="800002BF" w:usb1="38CF7CFA" w:usb2="00000016" w:usb3="00000000" w:csb0="00040001" w:csb1="00000000"/>
    <w:embedRegular r:id="rId5" w:fontKey="{2832A4DE-B747-4834-915E-7CECC63368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7"/>
      </w:rPr>
    </w:pPr>
    <w:r>
      <w:fldChar w:fldCharType="begin"/>
    </w:r>
    <w:r>
      <w:rPr>
        <w:rStyle w:val="47"/>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414DBA"/>
    <w:rsid w:val="0BA35012"/>
    <w:rsid w:val="0BB47FE1"/>
    <w:rsid w:val="0BB825ED"/>
    <w:rsid w:val="0BC0647C"/>
    <w:rsid w:val="0BD7624B"/>
    <w:rsid w:val="0BF26817"/>
    <w:rsid w:val="0C22464A"/>
    <w:rsid w:val="0C2B72AE"/>
    <w:rsid w:val="0C5C6F5A"/>
    <w:rsid w:val="0C623EAC"/>
    <w:rsid w:val="0C946488"/>
    <w:rsid w:val="0CAD24AF"/>
    <w:rsid w:val="0CB27F34"/>
    <w:rsid w:val="0CF715F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4A2DAF"/>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D2531"/>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344143"/>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C470B7"/>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03647"/>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3E23618"/>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40</Pages>
  <Words>7737</Words>
  <Characters>8187</Characters>
  <Lines>139</Lines>
  <Paragraphs>39</Paragraphs>
  <TotalTime>1</TotalTime>
  <ScaleCrop>false</ScaleCrop>
  <LinksUpToDate>false</LinksUpToDate>
  <CharactersWithSpaces>8352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2026-08-07T08:45:26Z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